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68E" w:rsidRDefault="00580152">
      <w:pPr>
        <w:pStyle w:val="Nagwek6"/>
        <w:numPr>
          <w:ilvl w:val="0"/>
          <w:numId w:val="0"/>
        </w:numPr>
        <w:tabs>
          <w:tab w:val="left" w:pos="7020"/>
        </w:tabs>
        <w:ind w:left="7020"/>
        <w:jc w:val="both"/>
        <w:rPr>
          <w:b w:val="0"/>
          <w:sz w:val="18"/>
          <w:szCs w:val="18"/>
        </w:rPr>
      </w:pPr>
      <w:r>
        <w:rPr>
          <w:b w:val="0"/>
          <w:sz w:val="18"/>
          <w:szCs w:val="18"/>
        </w:rPr>
        <w:t>Załącznik</w:t>
      </w:r>
      <w:r w:rsidR="00EE7613">
        <w:rPr>
          <w:b w:val="0"/>
          <w:sz w:val="18"/>
          <w:szCs w:val="18"/>
        </w:rPr>
        <w:t xml:space="preserve"> do Zarządzenia Nr 111</w:t>
      </w:r>
      <w:r w:rsidR="00750328">
        <w:rPr>
          <w:b w:val="0"/>
          <w:sz w:val="18"/>
          <w:szCs w:val="18"/>
        </w:rPr>
        <w:t>/2026 Burmistrza Gminy i </w:t>
      </w:r>
      <w:r w:rsidR="00EE7613">
        <w:rPr>
          <w:b w:val="0"/>
          <w:sz w:val="18"/>
          <w:szCs w:val="18"/>
        </w:rPr>
        <w:t>Miasta Nowe Brzesko  z dnia  21.08.2</w:t>
      </w:r>
      <w:bookmarkStart w:id="0" w:name="_GoBack"/>
      <w:bookmarkEnd w:id="0"/>
      <w:r w:rsidR="00750328">
        <w:rPr>
          <w:b w:val="0"/>
          <w:sz w:val="18"/>
          <w:szCs w:val="18"/>
        </w:rPr>
        <w:t>026r.</w:t>
      </w:r>
    </w:p>
    <w:p w:rsidR="003E768E" w:rsidRDefault="003E768E">
      <w:pPr>
        <w:rPr>
          <w:sz w:val="22"/>
          <w:szCs w:val="22"/>
        </w:rPr>
      </w:pPr>
    </w:p>
    <w:p w:rsidR="003E768E" w:rsidRPr="00580152" w:rsidRDefault="003E768E">
      <w:pPr>
        <w:pStyle w:val="Tekstpodstawowy21"/>
        <w:tabs>
          <w:tab w:val="left" w:pos="4320"/>
        </w:tabs>
        <w:ind w:left="-1080" w:right="-1298"/>
        <w:rPr>
          <w:color w:val="000000" w:themeColor="text1"/>
          <w:sz w:val="22"/>
          <w:szCs w:val="22"/>
          <w:u w:val="single"/>
        </w:rPr>
      </w:pPr>
    </w:p>
    <w:p w:rsidR="003E768E" w:rsidRPr="00580152" w:rsidRDefault="00750328">
      <w:pPr>
        <w:pStyle w:val="Tekstpodstawowy21"/>
        <w:tabs>
          <w:tab w:val="left" w:pos="4320"/>
        </w:tabs>
        <w:ind w:left="-1080" w:right="-1298"/>
        <w:rPr>
          <w:color w:val="000000" w:themeColor="text1"/>
          <w:u w:val="single"/>
        </w:rPr>
      </w:pPr>
      <w:r w:rsidRPr="00580152">
        <w:rPr>
          <w:color w:val="000000" w:themeColor="text1"/>
          <w:u w:val="single"/>
        </w:rPr>
        <w:t>OGŁOSZENIE O PRZETARGU</w:t>
      </w:r>
    </w:p>
    <w:p w:rsidR="003E768E" w:rsidRPr="00580152" w:rsidRDefault="003E768E">
      <w:pPr>
        <w:pStyle w:val="Tekstpodstawowy21"/>
        <w:tabs>
          <w:tab w:val="left" w:pos="4320"/>
        </w:tabs>
        <w:ind w:left="-1080" w:right="-1298"/>
        <w:rPr>
          <w:color w:val="000000" w:themeColor="text1"/>
          <w:u w:val="single"/>
        </w:rPr>
      </w:pPr>
    </w:p>
    <w:p w:rsidR="003E768E" w:rsidRPr="00580152" w:rsidRDefault="00750328">
      <w:pPr>
        <w:pStyle w:val="Tekstpodstawowy21"/>
        <w:tabs>
          <w:tab w:val="left" w:pos="4320"/>
          <w:tab w:val="left" w:pos="15451"/>
        </w:tabs>
        <w:ind w:right="142"/>
        <w:jc w:val="both"/>
        <w:rPr>
          <w:b w:val="0"/>
          <w:color w:val="000000" w:themeColor="text1"/>
        </w:rPr>
      </w:pPr>
      <w:r w:rsidRPr="00580152">
        <w:rPr>
          <w:b w:val="0"/>
          <w:color w:val="000000" w:themeColor="text1"/>
        </w:rPr>
        <w:t xml:space="preserve">Na podstawie art. 28 ust. 1 i 2, art. 40 ust. 1 pkt 1 ustawy z dnia 21 sierpnia 1997 r. o gospodarce nieruchomościami (tj. Dz. U. 2026r. poz. 399 z </w:t>
      </w:r>
      <w:proofErr w:type="spellStart"/>
      <w:r w:rsidRPr="00580152">
        <w:rPr>
          <w:b w:val="0"/>
          <w:color w:val="000000" w:themeColor="text1"/>
        </w:rPr>
        <w:t>późn</w:t>
      </w:r>
      <w:proofErr w:type="spellEnd"/>
      <w:r w:rsidRPr="00580152">
        <w:rPr>
          <w:b w:val="0"/>
          <w:color w:val="000000" w:themeColor="text1"/>
        </w:rPr>
        <w:t>. zm.) i § 3 ust. 1 Rozporządzenia Rady Ministrów z dnia 14 września 2004 r. w sprawie sposobu i trybu przeprowadzania przetargów oraz rokowań na zbycie nieruchomości (tj. Dz. U. z 2021 r., poz. 2213), Burmistrz Gminy i Miasta Nowe Brzesko ogłasza pierwszy przetarg ustny nieograniczony na sprzedaż nieruchomości stanowiącej własność Gminy Nowe Brzesko.</w:t>
      </w:r>
    </w:p>
    <w:p w:rsidR="003E768E" w:rsidRPr="00580152" w:rsidRDefault="003E768E">
      <w:pPr>
        <w:pStyle w:val="Tekstpodstawowy21"/>
        <w:tabs>
          <w:tab w:val="left" w:pos="4320"/>
          <w:tab w:val="left" w:pos="15451"/>
        </w:tabs>
        <w:ind w:right="142"/>
        <w:jc w:val="both"/>
        <w:rPr>
          <w:b w:val="0"/>
          <w:color w:val="000000" w:themeColor="text1"/>
        </w:rPr>
      </w:pPr>
    </w:p>
    <w:tbl>
      <w:tblPr>
        <w:tblStyle w:val="Tabela-Siatka"/>
        <w:tblW w:w="10206" w:type="dxa"/>
        <w:tblInd w:w="250" w:type="dxa"/>
        <w:tblLayout w:type="fixed"/>
        <w:tblLook w:val="04A0" w:firstRow="1" w:lastRow="0" w:firstColumn="1" w:lastColumn="0" w:noHBand="0" w:noVBand="1"/>
      </w:tblPr>
      <w:tblGrid>
        <w:gridCol w:w="3402"/>
        <w:gridCol w:w="3686"/>
        <w:gridCol w:w="3118"/>
      </w:tblGrid>
      <w:tr w:rsidR="00580152" w:rsidRPr="00580152">
        <w:tc>
          <w:tcPr>
            <w:tcW w:w="3402" w:type="dxa"/>
          </w:tcPr>
          <w:p w:rsidR="003E768E" w:rsidRPr="00580152" w:rsidRDefault="00750328">
            <w:pPr>
              <w:jc w:val="center"/>
              <w:rPr>
                <w:b/>
                <w:color w:val="000000" w:themeColor="text1"/>
              </w:rPr>
            </w:pPr>
            <w:r w:rsidRPr="00580152">
              <w:rPr>
                <w:b/>
                <w:color w:val="000000" w:themeColor="text1"/>
              </w:rPr>
              <w:t>Numer ewidencyjny działki</w:t>
            </w:r>
            <w:r w:rsidRPr="00580152">
              <w:rPr>
                <w:noProof/>
                <w:color w:val="000000" w:themeColor="text1"/>
                <w:lang w:eastAsia="pl-PL"/>
              </w:rPr>
              <mc:AlternateContent>
                <mc:Choice Requires="wps">
                  <w:drawing>
                    <wp:anchor distT="0" distB="0" distL="89535" distR="89535" simplePos="0" relativeHeight="2" behindDoc="0" locked="0" layoutInCell="0" allowOverlap="1">
                      <wp:simplePos x="0" y="0"/>
                      <wp:positionH relativeFrom="margin">
                        <wp:align>center</wp:align>
                      </wp:positionH>
                      <wp:positionV relativeFrom="paragraph">
                        <wp:posOffset>-5323205</wp:posOffset>
                      </wp:positionV>
                      <wp:extent cx="7560310" cy="175260"/>
                      <wp:effectExtent l="0" t="0" r="0" b="0"/>
                      <wp:wrapSquare wrapText="bothSides"/>
                      <wp:docPr id="1" name="Ramka1"/>
                      <wp:cNvGraphicFramePr/>
                      <a:graphic xmlns:a="http://schemas.openxmlformats.org/drawingml/2006/main">
                        <a:graphicData uri="http://schemas.microsoft.com/office/word/2010/wordprocessingShape">
                          <wps:wsp>
                            <wps:cNvSpPr txBox="1"/>
                            <wps:spPr>
                              <a:xfrm>
                                <a:off x="0" y="0"/>
                                <a:ext cx="7560310" cy="175260"/>
                              </a:xfrm>
                              <a:prstGeom prst="rect">
                                <a:avLst/>
                              </a:prstGeom>
                              <a:solidFill>
                                <a:srgbClr val="FFFFFF">
                                  <a:alpha val="0"/>
                                </a:srgbClr>
                              </a:solidFill>
                            </wps:spPr>
                            <wps:txbx>
                              <w:txbxContent>
                                <w:tbl>
                                  <w:tblPr>
                                    <w:tblW w:w="14529" w:type="dxa"/>
                                    <w:jc w:val="center"/>
                                    <w:tblLayout w:type="fixed"/>
                                    <w:tblCellMar>
                                      <w:left w:w="70" w:type="dxa"/>
                                      <w:right w:w="70" w:type="dxa"/>
                                    </w:tblCellMar>
                                    <w:tblLook w:val="0000" w:firstRow="0" w:lastRow="0" w:firstColumn="0" w:lastColumn="0" w:noHBand="0" w:noVBand="0"/>
                                  </w:tblPr>
                                  <w:tblGrid>
                                    <w:gridCol w:w="14529"/>
                                  </w:tblGrid>
                                  <w:tr w:rsidR="003E768E">
                                    <w:trPr>
                                      <w:trHeight w:val="15"/>
                                      <w:jc w:val="center"/>
                                    </w:trPr>
                                    <w:tc>
                                      <w:tcPr>
                                        <w:tcW w:w="14529" w:type="dxa"/>
                                        <w:tcBorders>
                                          <w:left w:val="single" w:sz="4" w:space="0" w:color="000000"/>
                                          <w:right w:val="single" w:sz="4" w:space="0" w:color="000000"/>
                                        </w:tcBorders>
                                      </w:tcPr>
                                      <w:p w:rsidR="003E768E" w:rsidRDefault="003E768E">
                                        <w:pPr>
                                          <w:widowControl w:val="0"/>
                                          <w:jc w:val="both"/>
                                        </w:pPr>
                                      </w:p>
                                    </w:tc>
                                  </w:tr>
                                </w:tbl>
                                <w:p w:rsidR="00990D79" w:rsidRDefault="00990D79"/>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Ramka1" o:spid="_x0000_s1026" type="#_x0000_t202" style="position:absolute;left:0;text-align:left;margin-left:0;margin-top:-419.15pt;width:595.3pt;height:13.8pt;z-index:2;visibility:visible;mso-wrap-style:square;mso-wrap-distance-left:7.05pt;mso-wrap-distance-top:0;mso-wrap-distance-right:7.05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" o:allowincell="f" stroked="f">
                      <v:fill opacity="0"/>
                      <v:textbox style="mso-fit-shape-to-text:t" inset="0,0,0,0">
                        <w:txbxContent>
                          <w:tbl>
                            <w:tblPr>
                              <w:tblW w:w="14529" w:type="dxa"/>
                              <w:jc w:val="center"/>
                              <w:tblLayout w:type="fixed"/>
                              <w:tblCellMar>
                                <w:left w:w="70" w:type="dxa"/>
                                <w:right w:w="70" w:type="dxa"/>
                              </w:tblCellMar>
                              <w:tblLook w:val="0000" w:firstRow="0" w:lastRow="0" w:firstColumn="0" w:lastColumn="0" w:noHBand="0" w:noVBand="0"/>
                            </w:tblPr>
                            <w:tblGrid>
                              <w:gridCol w:w="14529"/>
                            </w:tblGrid>
                            <w:tr w:rsidR="003E768E">
                              <w:trPr>
                                <w:trHeight w:val="15"/>
                                <w:jc w:val="center"/>
                              </w:trPr>
                              <w:tc>
                                <w:tcPr>
                                  <w:tcW w:w="14529" w:type="dxa"/>
                                  <w:tcBorders>
                                    <w:left w:val="single" w:sz="4" w:space="0" w:color="000000"/>
                                    <w:right w:val="single" w:sz="4" w:space="0" w:color="000000"/>
                                  </w:tcBorders>
                                </w:tcPr>
                                <w:p w:rsidR="003E768E" w:rsidRDefault="003E768E">
                                  <w:pPr>
                                    <w:widowControl w:val="0"/>
                                    <w:jc w:val="both"/>
                                  </w:pPr>
                                </w:p>
                              </w:tc>
                            </w:tr>
                          </w:tbl>
                          <w:p w:rsidR="00990D79" w:rsidRDefault="00990D79"/>
                        </w:txbxContent>
                      </v:textbox>
                      <w10:wrap type="square" anchorx="margin"/>
                    </v:shape>
                  </w:pict>
                </mc:Fallback>
              </mc:AlternateContent>
            </w:r>
          </w:p>
        </w:tc>
        <w:tc>
          <w:tcPr>
            <w:tcW w:w="3686" w:type="dxa"/>
          </w:tcPr>
          <w:p w:rsidR="003E768E" w:rsidRPr="00580152" w:rsidRDefault="00750328">
            <w:pPr>
              <w:jc w:val="center"/>
              <w:rPr>
                <w:b/>
                <w:color w:val="000000" w:themeColor="text1"/>
              </w:rPr>
            </w:pPr>
            <w:r w:rsidRPr="00580152">
              <w:rPr>
                <w:b/>
                <w:color w:val="000000" w:themeColor="text1"/>
              </w:rPr>
              <w:t>Powierzchnia  działki w ha Numer Księgi Wieczystej</w:t>
            </w:r>
          </w:p>
        </w:tc>
        <w:tc>
          <w:tcPr>
            <w:tcW w:w="3118" w:type="dxa"/>
          </w:tcPr>
          <w:p w:rsidR="003E768E" w:rsidRPr="00580152" w:rsidRDefault="00750328">
            <w:pPr>
              <w:jc w:val="center"/>
              <w:rPr>
                <w:b/>
                <w:color w:val="000000" w:themeColor="text1"/>
              </w:rPr>
            </w:pPr>
            <w:r w:rsidRPr="00580152">
              <w:rPr>
                <w:b/>
                <w:color w:val="000000" w:themeColor="text1"/>
              </w:rPr>
              <w:t>Cena nieruchomości netto</w:t>
            </w:r>
          </w:p>
        </w:tc>
      </w:tr>
      <w:tr w:rsidR="003E768E" w:rsidRPr="00580152">
        <w:trPr>
          <w:trHeight w:val="650"/>
        </w:trPr>
        <w:tc>
          <w:tcPr>
            <w:tcW w:w="3402" w:type="dxa"/>
          </w:tcPr>
          <w:p w:rsidR="003E768E" w:rsidRPr="00580152" w:rsidRDefault="003E768E">
            <w:pPr>
              <w:spacing w:after="120"/>
              <w:jc w:val="center"/>
              <w:rPr>
                <w:b/>
                <w:color w:val="000000" w:themeColor="text1"/>
              </w:rPr>
            </w:pPr>
          </w:p>
          <w:p w:rsidR="003E768E" w:rsidRPr="00580152" w:rsidRDefault="00750328">
            <w:pPr>
              <w:spacing w:after="120"/>
              <w:jc w:val="center"/>
              <w:rPr>
                <w:b/>
                <w:color w:val="000000" w:themeColor="text1"/>
              </w:rPr>
            </w:pPr>
            <w:r w:rsidRPr="00580152">
              <w:rPr>
                <w:b/>
                <w:color w:val="000000" w:themeColor="text1"/>
              </w:rPr>
              <w:t>1393/84</w:t>
            </w:r>
          </w:p>
        </w:tc>
        <w:tc>
          <w:tcPr>
            <w:tcW w:w="3686" w:type="dxa"/>
          </w:tcPr>
          <w:p w:rsidR="003E768E" w:rsidRPr="00580152" w:rsidRDefault="003E768E">
            <w:pPr>
              <w:spacing w:after="120"/>
              <w:jc w:val="center"/>
              <w:rPr>
                <w:color w:val="000000" w:themeColor="text1"/>
              </w:rPr>
            </w:pPr>
          </w:p>
          <w:p w:rsidR="003E768E" w:rsidRPr="00580152" w:rsidRDefault="00750328">
            <w:pPr>
              <w:spacing w:after="120"/>
              <w:jc w:val="center"/>
              <w:rPr>
                <w:b/>
                <w:bCs/>
                <w:color w:val="000000" w:themeColor="text1"/>
              </w:rPr>
            </w:pPr>
            <w:r w:rsidRPr="00580152">
              <w:rPr>
                <w:b/>
                <w:bCs/>
                <w:color w:val="000000" w:themeColor="text1"/>
              </w:rPr>
              <w:t>2,7297 ha</w:t>
            </w:r>
          </w:p>
        </w:tc>
        <w:tc>
          <w:tcPr>
            <w:tcW w:w="3118" w:type="dxa"/>
          </w:tcPr>
          <w:p w:rsidR="003E768E" w:rsidRPr="00580152" w:rsidRDefault="003E768E">
            <w:pPr>
              <w:spacing w:after="120"/>
              <w:rPr>
                <w:b/>
                <w:color w:val="000000" w:themeColor="text1"/>
              </w:rPr>
            </w:pPr>
          </w:p>
          <w:p w:rsidR="003E768E" w:rsidRPr="00580152" w:rsidRDefault="00750328">
            <w:pPr>
              <w:spacing w:after="120"/>
              <w:jc w:val="center"/>
              <w:rPr>
                <w:b/>
                <w:color w:val="000000" w:themeColor="text1"/>
              </w:rPr>
            </w:pPr>
            <w:r w:rsidRPr="00580152">
              <w:rPr>
                <w:b/>
                <w:color w:val="000000" w:themeColor="text1"/>
              </w:rPr>
              <w:t>1 742 095,00 zł</w:t>
            </w:r>
          </w:p>
        </w:tc>
      </w:tr>
    </w:tbl>
    <w:p w:rsidR="003E768E" w:rsidRPr="00580152" w:rsidRDefault="003E768E">
      <w:pPr>
        <w:jc w:val="both"/>
        <w:rPr>
          <w:color w:val="000000" w:themeColor="text1"/>
        </w:rPr>
      </w:pPr>
    </w:p>
    <w:p w:rsidR="003E768E" w:rsidRPr="00580152" w:rsidRDefault="00750328">
      <w:pPr>
        <w:jc w:val="both"/>
        <w:rPr>
          <w:color w:val="000000" w:themeColor="text1"/>
        </w:rPr>
      </w:pPr>
      <w:r w:rsidRPr="00580152">
        <w:rPr>
          <w:color w:val="000000" w:themeColor="text1"/>
        </w:rPr>
        <w:t>Podana cena nieruchomości została ustalona przez rzeczoznawcę majątkowego i dodatkowo podlega opodatkowaniu podatkiem od towarów i usług VAT w stawce 23%.</w:t>
      </w:r>
    </w:p>
    <w:p w:rsidR="003E768E" w:rsidRPr="00580152" w:rsidRDefault="003E768E">
      <w:pPr>
        <w:jc w:val="both"/>
        <w:rPr>
          <w:color w:val="000000" w:themeColor="text1"/>
        </w:rPr>
      </w:pPr>
    </w:p>
    <w:p w:rsidR="003E768E" w:rsidRPr="00580152" w:rsidRDefault="00750328">
      <w:pPr>
        <w:jc w:val="both"/>
        <w:rPr>
          <w:color w:val="000000" w:themeColor="text1"/>
        </w:rPr>
      </w:pPr>
      <w:r w:rsidRPr="00580152">
        <w:rPr>
          <w:color w:val="000000" w:themeColor="text1"/>
        </w:rPr>
        <w:t xml:space="preserve">Nieruchomość gruntowa niezabudowana stanowiąca działkę o numerze ewidencyjnym 1393/84 o pow. 2,7297 ha położona jest w Nowym Brzesku przy ul. Wiślanej, gmina Nowe Brzesko, powiat proszowicki. Dla przedmiotowej nieruchomości gruntowej niezabudowanej Sąd Rejonowy dla Krakowa- Nowej Huty w Krakowie, V Zamiejscowy Wydział Ksiąg Wieczystych z siedzibą w Proszowicach prowadzi Księgę Wieczystą Nr KR1H/00040213/5. </w:t>
      </w:r>
    </w:p>
    <w:p w:rsidR="003E768E" w:rsidRPr="00580152" w:rsidRDefault="00750328">
      <w:pPr>
        <w:pStyle w:val="Akapitzlist"/>
        <w:ind w:left="0"/>
        <w:jc w:val="both"/>
        <w:rPr>
          <w:color w:val="000000" w:themeColor="text1"/>
        </w:rPr>
      </w:pPr>
      <w:r w:rsidRPr="00580152">
        <w:rPr>
          <w:color w:val="000000" w:themeColor="text1"/>
        </w:rPr>
        <w:t xml:space="preserve">Stan prawny jest uregulowany. </w:t>
      </w:r>
    </w:p>
    <w:p w:rsidR="003E768E" w:rsidRPr="00580152" w:rsidRDefault="00750328">
      <w:pPr>
        <w:pStyle w:val="Akapitzlist"/>
        <w:ind w:left="0"/>
        <w:jc w:val="both"/>
        <w:rPr>
          <w:color w:val="000000" w:themeColor="text1"/>
        </w:rPr>
      </w:pPr>
      <w:r w:rsidRPr="00580152">
        <w:rPr>
          <w:color w:val="000000" w:themeColor="text1"/>
        </w:rPr>
        <w:t xml:space="preserve">Działka posiada kształt nieregularny i rozciąga się na terenie płaskim w kierunku północny – wschód – południowy - zachód. Dojazd do nieruchomości jednostronny od strony południowej bezpośrednio                   z ulicy Wiślanej (działki o numerach </w:t>
      </w:r>
      <w:proofErr w:type="spellStart"/>
      <w:r w:rsidRPr="00580152">
        <w:rPr>
          <w:color w:val="000000" w:themeColor="text1"/>
        </w:rPr>
        <w:t>ewid</w:t>
      </w:r>
      <w:proofErr w:type="spellEnd"/>
      <w:r w:rsidRPr="00580152">
        <w:rPr>
          <w:color w:val="000000" w:themeColor="text1"/>
        </w:rPr>
        <w:t xml:space="preserve">.: nr 1393/40, nr 1383/85, nr 1393/86 i  nr 1393/88). Droga wojewódzka nr 775 relacji Nowe Brzesko – Bochnia przebiega w odległości ok. 300m od przedmiotu wyceny. W sąsiedztwie znajdują się nieruchomości gruntowe niezabudowane przeznaczone na cele usługowe, budynek produkcyjny, obiekt sportowy i budynki mieszkalne jednorodzinne. Okolica zadbana, wysokie poczucie bezpieczeństwa, bliskość sieci handlowo usługowych, obiektów sakralnych i szkół. Oddziaływanie czynników środowiskowych takich jak: hałas, spaliny natężenie ruchu ulicznego- znikome. Nieopodal znajduje się wał wiślany, przepływa rzeka Wisła i znajdują się tereny z dużą ilością zieleni. </w:t>
      </w:r>
    </w:p>
    <w:p w:rsidR="003E768E" w:rsidRPr="00580152" w:rsidRDefault="00750328">
      <w:pPr>
        <w:pStyle w:val="Akapitzlist"/>
        <w:ind w:left="0"/>
        <w:jc w:val="both"/>
        <w:rPr>
          <w:color w:val="000000" w:themeColor="text1"/>
        </w:rPr>
      </w:pPr>
      <w:r w:rsidRPr="00580152">
        <w:rPr>
          <w:color w:val="000000" w:themeColor="text1"/>
        </w:rPr>
        <w:t xml:space="preserve">Działka jest nieogrodzona. Teren nieruchomości porośnięty jest trawą oraz pojedynczymi drzewami. Uzbrojenie terenu stanowi sieć elektryczna i wodno-kanalizacyjna miejska. Wzdłuż drogi znajduje się chodnik oraz słupy oświetleniowe. Zgodnie z art. 217 §  2 pkt. 2 ustawy z dnia 14 czerwca 1960r. Kodeks postępowania administracyjnego oraz Uchwałą Rady Miejskiej Nowe Brzesko Nr XXXIX/268/2018 z dnia 28 września 2018r. w sprawie zmiany miejscowego planu zagospodarowania przestrzennego w miejscowości Nowe Brzesko dla terenu położonego w Nowobrzeskim Obszarze Gospodarczym, działka o numerze </w:t>
      </w:r>
      <w:proofErr w:type="spellStart"/>
      <w:r w:rsidRPr="00580152">
        <w:rPr>
          <w:color w:val="000000" w:themeColor="text1"/>
        </w:rPr>
        <w:t>ewid</w:t>
      </w:r>
      <w:proofErr w:type="spellEnd"/>
      <w:r w:rsidRPr="00580152">
        <w:rPr>
          <w:color w:val="000000" w:themeColor="text1"/>
        </w:rPr>
        <w:t xml:space="preserve">. 1393/84 położona jest                            w obszarze zabudowy produkcyjnej, usługowej, </w:t>
      </w:r>
      <w:proofErr w:type="spellStart"/>
      <w:r w:rsidRPr="00580152">
        <w:rPr>
          <w:color w:val="000000" w:themeColor="text1"/>
        </w:rPr>
        <w:t>produkcyjno</w:t>
      </w:r>
      <w:proofErr w:type="spellEnd"/>
      <w:r w:rsidRPr="00580152">
        <w:rPr>
          <w:color w:val="000000" w:themeColor="text1"/>
        </w:rPr>
        <w:t xml:space="preserve"> – usługowej i składowo- magazynowej oznaczonej symbolem 1P/U, 2P/U oraz w terenie zieleni urządzonej</w:t>
      </w:r>
      <w:r w:rsidR="00580152">
        <w:rPr>
          <w:color w:val="000000" w:themeColor="text1"/>
        </w:rPr>
        <w:t xml:space="preserve"> oznaczonej symbolem 1ZP, 2ZP i </w:t>
      </w:r>
      <w:r w:rsidRPr="00580152">
        <w:rPr>
          <w:color w:val="000000" w:themeColor="text1"/>
        </w:rPr>
        <w:t>3 ZP.</w:t>
      </w:r>
    </w:p>
    <w:p w:rsidR="003E768E" w:rsidRPr="00580152" w:rsidRDefault="003E768E">
      <w:pPr>
        <w:pStyle w:val="Bezodstpw"/>
        <w:jc w:val="both"/>
        <w:rPr>
          <w:rFonts w:ascii="Times New Roman" w:hAnsi="Times New Roman" w:cs="Times New Roman"/>
          <w:color w:val="000000" w:themeColor="text1"/>
          <w:sz w:val="24"/>
          <w:szCs w:val="24"/>
        </w:rPr>
      </w:pPr>
    </w:p>
    <w:p w:rsidR="003E768E" w:rsidRPr="00580152" w:rsidRDefault="00750328">
      <w:pPr>
        <w:pStyle w:val="Akapitzlist"/>
        <w:ind w:left="0"/>
        <w:jc w:val="both"/>
        <w:rPr>
          <w:color w:val="000000" w:themeColor="text1"/>
        </w:rPr>
      </w:pPr>
      <w:r w:rsidRPr="00580152">
        <w:rPr>
          <w:color w:val="000000" w:themeColor="text1"/>
        </w:rPr>
        <w:t>Nieruchomość jest wolna od obciążeń i nie jest przedmiotem zobowiązań.</w:t>
      </w:r>
    </w:p>
    <w:p w:rsidR="003E768E" w:rsidRPr="00580152" w:rsidRDefault="003E768E">
      <w:pPr>
        <w:pStyle w:val="Akapitzlist"/>
        <w:ind w:left="0"/>
        <w:jc w:val="both"/>
        <w:rPr>
          <w:color w:val="000000" w:themeColor="text1"/>
        </w:rPr>
      </w:pPr>
    </w:p>
    <w:p w:rsidR="003E768E" w:rsidRPr="00580152" w:rsidRDefault="00750328">
      <w:pPr>
        <w:pStyle w:val="Tekstblokowy1"/>
        <w:ind w:left="0" w:right="0"/>
        <w:rPr>
          <w:b w:val="0"/>
          <w:bCs w:val="0"/>
          <w:color w:val="000000" w:themeColor="text1"/>
          <w:sz w:val="24"/>
        </w:rPr>
      </w:pPr>
      <w:r w:rsidRPr="00580152">
        <w:rPr>
          <w:b w:val="0"/>
          <w:color w:val="000000" w:themeColor="text1"/>
          <w:sz w:val="24"/>
        </w:rPr>
        <w:lastRenderedPageBreak/>
        <w:t>Przetarg  ustny nieograniczony na</w:t>
      </w:r>
      <w:r w:rsidRPr="00580152">
        <w:rPr>
          <w:color w:val="000000" w:themeColor="text1"/>
          <w:sz w:val="24"/>
        </w:rPr>
        <w:t xml:space="preserve"> </w:t>
      </w:r>
      <w:r w:rsidRPr="00580152">
        <w:rPr>
          <w:b w:val="0"/>
          <w:color w:val="000000" w:themeColor="text1"/>
          <w:sz w:val="24"/>
        </w:rPr>
        <w:t>sprzedaż nieruchomości gruntowej niezabudowa</w:t>
      </w:r>
      <w:r w:rsidR="00013865">
        <w:rPr>
          <w:b w:val="0"/>
          <w:color w:val="000000" w:themeColor="text1"/>
          <w:sz w:val="24"/>
        </w:rPr>
        <w:t xml:space="preserve">nej odbędzie </w:t>
      </w:r>
      <w:r w:rsidR="000131E8">
        <w:rPr>
          <w:b w:val="0"/>
          <w:color w:val="000000" w:themeColor="text1"/>
          <w:sz w:val="24"/>
        </w:rPr>
        <w:t>się w dniu 30.10.2026r.</w:t>
      </w:r>
      <w:r w:rsidRPr="00580152">
        <w:rPr>
          <w:b w:val="0"/>
          <w:color w:val="000000" w:themeColor="text1"/>
          <w:sz w:val="24"/>
        </w:rPr>
        <w:t xml:space="preserve"> o godz. 9:00 w sali Miejsko-Gminnego Centrum Kultury i Promocji w Nowym Brzesku, ul. Piłsudskiego 17A.</w:t>
      </w:r>
      <w:r w:rsidRPr="00580152">
        <w:rPr>
          <w:b w:val="0"/>
          <w:bCs w:val="0"/>
          <w:color w:val="000000" w:themeColor="text1"/>
          <w:sz w:val="24"/>
        </w:rPr>
        <w:t xml:space="preserve"> </w:t>
      </w:r>
      <w:bookmarkStart w:id="1" w:name="_Hlk143084759"/>
      <w:bookmarkEnd w:id="1"/>
    </w:p>
    <w:p w:rsidR="003E768E" w:rsidRPr="00580152" w:rsidRDefault="00750328" w:rsidP="005E4D51">
      <w:pPr>
        <w:pStyle w:val="Tekstblokowy1"/>
        <w:ind w:left="0" w:right="0"/>
        <w:rPr>
          <w:b w:val="0"/>
          <w:color w:val="000000" w:themeColor="text1"/>
          <w:sz w:val="24"/>
        </w:rPr>
      </w:pPr>
      <w:r w:rsidRPr="00580152">
        <w:rPr>
          <w:b w:val="0"/>
          <w:color w:val="000000" w:themeColor="text1"/>
          <w:sz w:val="24"/>
        </w:rPr>
        <w:t>Warunkiem udziału w przetargu jest wniesienie wadium w pieniądzu w wysokości  174 209,50 zł.</w:t>
      </w:r>
      <w:r w:rsidRPr="00580152">
        <w:rPr>
          <w:color w:val="000000" w:themeColor="text1"/>
          <w:sz w:val="24"/>
        </w:rPr>
        <w:t xml:space="preserve"> </w:t>
      </w:r>
      <w:r w:rsidRPr="00580152">
        <w:rPr>
          <w:b w:val="0"/>
          <w:color w:val="000000" w:themeColor="text1"/>
          <w:sz w:val="24"/>
        </w:rPr>
        <w:t xml:space="preserve">tj. 10% ceny wywoławczej nieruchomości, wadium należy wpłacić do </w:t>
      </w:r>
      <w:r w:rsidR="00285B3B">
        <w:rPr>
          <w:b w:val="0"/>
          <w:color w:val="000000" w:themeColor="text1"/>
          <w:sz w:val="24"/>
        </w:rPr>
        <w:t>27.10.2026r</w:t>
      </w:r>
      <w:r w:rsidRPr="00580152">
        <w:rPr>
          <w:b w:val="0"/>
          <w:color w:val="000000" w:themeColor="text1"/>
          <w:sz w:val="24"/>
        </w:rPr>
        <w:t xml:space="preserve">  na konto Urzędu Gminy i Miasta Nowe Brzesko – Nadwiślański Bank Spółdzielczy w Solcu Zdroju Nr 02 8517 0007 0050 0560 4556 0007  (decyduje data wpływu na konto). W tytule wpłaty wadium należy wskazać numer działki,  której wadium dotyczy. Wadium zostanie zwrócone uczestnikom przetargu, którzy przetargu nie wygrali, oraz w przypadku odwołania przetargu, w terminie 3 dni. Wadium wpłacone przez uczestnika, który przetarg wygrał, zalicza się na poczet ceny nabycia nieruchomości. Wadium ulega przepadkowi w razie uchylenia się uczestnika przetargu, który przetarg wygrał, od zawarcia umowy notarialnej. </w:t>
      </w:r>
    </w:p>
    <w:p w:rsidR="003E768E" w:rsidRPr="00580152" w:rsidRDefault="00750328" w:rsidP="005E4D51">
      <w:pPr>
        <w:pStyle w:val="ng-scope"/>
        <w:spacing w:beforeAutospacing="0" w:afterAutospacing="0"/>
        <w:jc w:val="both"/>
        <w:rPr>
          <w:rStyle w:val="Pogrubienie"/>
          <w:b w:val="0"/>
          <w:bCs w:val="0"/>
          <w:color w:val="000000" w:themeColor="text1"/>
        </w:rPr>
      </w:pPr>
      <w:r w:rsidRPr="00580152">
        <w:rPr>
          <w:rStyle w:val="Pogrubienie"/>
          <w:b w:val="0"/>
          <w:bCs w:val="0"/>
          <w:color w:val="000000" w:themeColor="text1"/>
        </w:rPr>
        <w:t>O wysokości postąpienia decydują uczestnicy przetargu, z tym że postąpienie nie może wynosić mniej niż 1% ceny wywoławczej, z zaokrągleniem w górę do pełnych dziesiątek.</w:t>
      </w:r>
    </w:p>
    <w:p w:rsidR="003E768E" w:rsidRPr="00580152" w:rsidRDefault="00750328" w:rsidP="005E4D51">
      <w:pPr>
        <w:pStyle w:val="NormalnyWeb"/>
        <w:spacing w:beforeAutospacing="0" w:afterAutospacing="0"/>
        <w:jc w:val="both"/>
        <w:rPr>
          <w:color w:val="000000" w:themeColor="text1"/>
        </w:rPr>
      </w:pPr>
      <w:r w:rsidRPr="00580152">
        <w:rPr>
          <w:color w:val="000000" w:themeColor="text1"/>
        </w:rPr>
        <w:t>Cena za nabycie nieruchomości płatna jest nie później niż do dnia zawarcia umowy notarialnej przenoszącej własność nieruchomości. Za termin zapłaty ceny uznaje się dzień wpływu należności na wskazane konto. Koszt umowy i opłaty sądowej ponosi nabywca.</w:t>
      </w:r>
    </w:p>
    <w:p w:rsidR="003E768E" w:rsidRPr="00580152" w:rsidRDefault="00750328" w:rsidP="005E4D51">
      <w:pPr>
        <w:pStyle w:val="NormalnyWeb"/>
        <w:spacing w:beforeAutospacing="0" w:afterAutospacing="0"/>
        <w:jc w:val="both"/>
        <w:rPr>
          <w:color w:val="000000" w:themeColor="text1"/>
        </w:rPr>
      </w:pPr>
      <w:r w:rsidRPr="00580152">
        <w:rPr>
          <w:color w:val="000000" w:themeColor="text1"/>
        </w:rPr>
        <w:t xml:space="preserve">Zawiadomienie o terminie i miejscu zawarcia umowy notarialnej nastąpi w ciągu 21 dni od daty zamknięcia przetargu. </w:t>
      </w:r>
    </w:p>
    <w:p w:rsidR="003E768E" w:rsidRPr="00580152" w:rsidRDefault="00750328" w:rsidP="005E4D51">
      <w:pPr>
        <w:pStyle w:val="Tekstblokowy1"/>
        <w:ind w:left="0" w:right="0"/>
        <w:rPr>
          <w:b w:val="0"/>
          <w:bCs w:val="0"/>
          <w:color w:val="000000" w:themeColor="text1"/>
          <w:sz w:val="24"/>
          <w:lang w:eastAsia="pl-PL"/>
        </w:rPr>
      </w:pPr>
      <w:r w:rsidRPr="00580152">
        <w:rPr>
          <w:b w:val="0"/>
          <w:bCs w:val="0"/>
          <w:color w:val="000000" w:themeColor="text1"/>
          <w:sz w:val="24"/>
          <w:lang w:eastAsia="pl-PL"/>
        </w:rPr>
        <w:t>W przetargu mogą uczestniczyć osoby fizyczne i prawne.</w:t>
      </w:r>
    </w:p>
    <w:p w:rsidR="003E768E" w:rsidRPr="00580152" w:rsidRDefault="00750328" w:rsidP="005E4D51">
      <w:pPr>
        <w:pStyle w:val="Tekstblokowy1"/>
        <w:ind w:left="0"/>
        <w:rPr>
          <w:b w:val="0"/>
          <w:bCs w:val="0"/>
          <w:color w:val="000000" w:themeColor="text1"/>
          <w:sz w:val="24"/>
        </w:rPr>
      </w:pPr>
      <w:r w:rsidRPr="00580152">
        <w:rPr>
          <w:b w:val="0"/>
          <w:bCs w:val="0"/>
          <w:color w:val="000000" w:themeColor="text1"/>
          <w:sz w:val="24"/>
        </w:rPr>
        <w:t>W przypadku udziału w przetargu osób pozostających w związku małżeńskim, które obowiązuje</w:t>
      </w:r>
    </w:p>
    <w:p w:rsidR="003E768E" w:rsidRPr="00580152" w:rsidRDefault="00750328" w:rsidP="005E4D51">
      <w:pPr>
        <w:pStyle w:val="Tekstblokowy1"/>
        <w:ind w:left="0"/>
        <w:rPr>
          <w:b w:val="0"/>
          <w:bCs w:val="0"/>
          <w:color w:val="000000" w:themeColor="text1"/>
          <w:sz w:val="24"/>
        </w:rPr>
      </w:pPr>
      <w:r w:rsidRPr="00580152">
        <w:rPr>
          <w:b w:val="0"/>
          <w:bCs w:val="0"/>
          <w:color w:val="000000" w:themeColor="text1"/>
          <w:sz w:val="24"/>
        </w:rPr>
        <w:t>ustawowa wspólność majątkowa, konieczne jest stawiennictwo obojga małżonków lub w przypadku</w:t>
      </w:r>
    </w:p>
    <w:p w:rsidR="003E768E" w:rsidRPr="00580152" w:rsidRDefault="00750328" w:rsidP="005E4D51">
      <w:pPr>
        <w:pStyle w:val="Tekstblokowy1"/>
        <w:ind w:left="0"/>
        <w:rPr>
          <w:b w:val="0"/>
          <w:bCs w:val="0"/>
          <w:color w:val="000000" w:themeColor="text1"/>
          <w:sz w:val="24"/>
        </w:rPr>
      </w:pPr>
      <w:r w:rsidRPr="00580152">
        <w:rPr>
          <w:b w:val="0"/>
          <w:bCs w:val="0"/>
          <w:color w:val="000000" w:themeColor="text1"/>
          <w:sz w:val="24"/>
        </w:rPr>
        <w:t>udziału jednego z nich przedłożenie stosownej pisemnej zgody współmałżonka do wzięcia udziału</w:t>
      </w:r>
    </w:p>
    <w:p w:rsidR="003E768E" w:rsidRPr="00580152" w:rsidRDefault="00750328" w:rsidP="005E4D51">
      <w:pPr>
        <w:pStyle w:val="Tekstblokowy1"/>
        <w:ind w:left="0"/>
        <w:rPr>
          <w:b w:val="0"/>
          <w:bCs w:val="0"/>
          <w:color w:val="000000" w:themeColor="text1"/>
          <w:sz w:val="24"/>
        </w:rPr>
      </w:pPr>
      <w:r w:rsidRPr="00580152">
        <w:rPr>
          <w:b w:val="0"/>
          <w:bCs w:val="0"/>
          <w:color w:val="000000" w:themeColor="text1"/>
          <w:sz w:val="24"/>
        </w:rPr>
        <w:t>w przetargu w jego imieniu; w przypadku rozdzielności majątkowej – przedstawienie dokumentu</w:t>
      </w:r>
    </w:p>
    <w:p w:rsidR="003E768E" w:rsidRPr="00580152" w:rsidRDefault="00750328" w:rsidP="005E4D51">
      <w:pPr>
        <w:pStyle w:val="Tekstblokowy1"/>
        <w:ind w:left="0" w:right="0"/>
        <w:rPr>
          <w:b w:val="0"/>
          <w:bCs w:val="0"/>
          <w:color w:val="000000" w:themeColor="text1"/>
          <w:sz w:val="24"/>
        </w:rPr>
      </w:pPr>
      <w:r w:rsidRPr="00580152">
        <w:rPr>
          <w:b w:val="0"/>
          <w:bCs w:val="0"/>
          <w:color w:val="000000" w:themeColor="text1"/>
          <w:sz w:val="24"/>
        </w:rPr>
        <w:t>ustanawiającego rozdzielność.</w:t>
      </w:r>
      <w:r w:rsidR="00DD19B1">
        <w:rPr>
          <w:b w:val="0"/>
          <w:bCs w:val="0"/>
          <w:color w:val="000000" w:themeColor="text1"/>
          <w:sz w:val="24"/>
        </w:rPr>
        <w:tab/>
      </w:r>
    </w:p>
    <w:p w:rsidR="003E768E" w:rsidRPr="00580152" w:rsidRDefault="00750328" w:rsidP="005E4D51">
      <w:pPr>
        <w:pStyle w:val="Tekstblokowy1"/>
        <w:ind w:left="0" w:right="-1"/>
        <w:rPr>
          <w:b w:val="0"/>
          <w:bCs w:val="0"/>
          <w:color w:val="000000" w:themeColor="text1"/>
          <w:sz w:val="24"/>
        </w:rPr>
      </w:pPr>
      <w:r w:rsidRPr="00580152">
        <w:rPr>
          <w:b w:val="0"/>
          <w:bCs w:val="0"/>
          <w:color w:val="000000" w:themeColor="text1"/>
          <w:sz w:val="24"/>
        </w:rPr>
        <w:t>W przypadku uczestników prowadzących działalność gospodarczą, należy podać nr NIP i REGON oraz przedłożyć odpowiednie odpisy z CEIDG, KRS, itp., oraz umocowanie do działania.</w:t>
      </w:r>
    </w:p>
    <w:p w:rsidR="003E768E" w:rsidRPr="00580152" w:rsidRDefault="00750328" w:rsidP="005E4D51">
      <w:pPr>
        <w:pStyle w:val="Tekstblokowy1"/>
        <w:ind w:left="0" w:right="-1"/>
        <w:rPr>
          <w:b w:val="0"/>
          <w:bCs w:val="0"/>
          <w:color w:val="000000" w:themeColor="text1"/>
          <w:sz w:val="24"/>
        </w:rPr>
      </w:pPr>
      <w:r w:rsidRPr="00580152">
        <w:rPr>
          <w:b w:val="0"/>
          <w:bCs w:val="0"/>
          <w:color w:val="000000" w:themeColor="text1"/>
          <w:sz w:val="24"/>
        </w:rPr>
        <w:t>W dniu przetargu uczestnicy zobowiązani są posiadać dokument tożsamości, a w przypadku reprezentowania uczestnika przetargu przez pełnomocnika również dokumentu pełnomocnictwa w formie aktu notarialnego.</w:t>
      </w:r>
    </w:p>
    <w:p w:rsidR="003E768E" w:rsidRPr="00580152" w:rsidRDefault="00750328" w:rsidP="005E4D51">
      <w:pPr>
        <w:pStyle w:val="ng-scope"/>
        <w:spacing w:beforeAutospacing="0" w:afterAutospacing="0"/>
        <w:jc w:val="both"/>
        <w:rPr>
          <w:color w:val="000000" w:themeColor="text1"/>
        </w:rPr>
      </w:pPr>
      <w:r w:rsidRPr="00580152">
        <w:rPr>
          <w:color w:val="000000" w:themeColor="text1"/>
        </w:rPr>
        <w:t>W przypadku, gdy nabywcą nieruchomości ustalony zostanie cudzoziemiec w rozumieniu ustawy z dnia 24 marca 1920 r. o nabywaniu nieruchomości przez cudzoziemców (tekst jednolity Dz. U. z 2017 r. poz. 2278), do zawarcia umowy notarialnej sprzedaży nieruchomości nabywca winien przedłożyć zezwolenie, jeżeli uzyskanie zezwolenia wynika z przepisów cytowanej wyżej ustawy.</w:t>
      </w:r>
    </w:p>
    <w:p w:rsidR="003E768E" w:rsidRPr="00580152" w:rsidRDefault="003E768E" w:rsidP="005E4D51">
      <w:pPr>
        <w:pStyle w:val="Tekstblokowy1"/>
        <w:ind w:left="0" w:right="0"/>
        <w:rPr>
          <w:b w:val="0"/>
          <w:color w:val="000000" w:themeColor="text1"/>
          <w:sz w:val="24"/>
        </w:rPr>
      </w:pPr>
    </w:p>
    <w:p w:rsidR="003E768E" w:rsidRPr="00580152" w:rsidRDefault="00750328" w:rsidP="005E4D51">
      <w:pPr>
        <w:pStyle w:val="Tekstblokowy1"/>
        <w:ind w:left="0" w:right="0"/>
        <w:rPr>
          <w:b w:val="0"/>
          <w:color w:val="000000" w:themeColor="text1"/>
          <w:sz w:val="24"/>
        </w:rPr>
      </w:pPr>
      <w:r w:rsidRPr="00580152">
        <w:rPr>
          <w:b w:val="0"/>
          <w:color w:val="000000" w:themeColor="text1"/>
          <w:sz w:val="24"/>
        </w:rPr>
        <w:t xml:space="preserve">Termin składania wniosków przez osoby, którym przysługuje pierwszeństwo w nabyciu nieruchomości na podstawie art. 34 ust.1 ustawy z dnia 21 sierpnia 1997 roku o gospodarce nieruchomościami  (tj. Dz. U. z 2026 r.  ,poz. 399 </w:t>
      </w:r>
      <w:r w:rsidR="005E4D51">
        <w:rPr>
          <w:b w:val="0"/>
          <w:color w:val="000000" w:themeColor="text1"/>
          <w:sz w:val="24"/>
        </w:rPr>
        <w:t xml:space="preserve">z </w:t>
      </w:r>
      <w:proofErr w:type="spellStart"/>
      <w:r w:rsidR="005E4D51">
        <w:rPr>
          <w:b w:val="0"/>
          <w:color w:val="000000" w:themeColor="text1"/>
          <w:sz w:val="24"/>
        </w:rPr>
        <w:t>późn</w:t>
      </w:r>
      <w:proofErr w:type="spellEnd"/>
      <w:r w:rsidR="005E4D51">
        <w:rPr>
          <w:b w:val="0"/>
          <w:color w:val="000000" w:themeColor="text1"/>
          <w:sz w:val="24"/>
        </w:rPr>
        <w:t xml:space="preserve">. zm.) upłynął </w:t>
      </w:r>
      <w:r w:rsidR="005E4D51" w:rsidRPr="005E4D51">
        <w:rPr>
          <w:b w:val="0"/>
          <w:sz w:val="24"/>
        </w:rPr>
        <w:t>12.08.2026r</w:t>
      </w:r>
      <w:r w:rsidR="005E4D51">
        <w:rPr>
          <w:b w:val="0"/>
          <w:sz w:val="24"/>
        </w:rPr>
        <w:t>.</w:t>
      </w:r>
      <w:r w:rsidRPr="005E4D51">
        <w:rPr>
          <w:b w:val="0"/>
          <w:color w:val="000000" w:themeColor="text1"/>
          <w:sz w:val="24"/>
        </w:rPr>
        <w:t xml:space="preserve"> i </w:t>
      </w:r>
      <w:r w:rsidRPr="00580152">
        <w:rPr>
          <w:b w:val="0"/>
          <w:color w:val="000000" w:themeColor="text1"/>
          <w:sz w:val="24"/>
        </w:rPr>
        <w:t>w tym terminie nie wpłynął żaden wniosek.</w:t>
      </w:r>
    </w:p>
    <w:p w:rsidR="003E768E" w:rsidRPr="00580152" w:rsidRDefault="003E768E" w:rsidP="005E4D51">
      <w:pPr>
        <w:pStyle w:val="Tekstblokowy1"/>
        <w:ind w:left="0" w:right="0"/>
        <w:rPr>
          <w:b w:val="0"/>
          <w:color w:val="000000" w:themeColor="text1"/>
          <w:sz w:val="24"/>
        </w:rPr>
      </w:pPr>
    </w:p>
    <w:p w:rsidR="003E768E" w:rsidRPr="00580152" w:rsidRDefault="00750328" w:rsidP="005E4D51">
      <w:pPr>
        <w:pStyle w:val="Tekstblokowy1"/>
        <w:ind w:left="0" w:right="0"/>
        <w:rPr>
          <w:b w:val="0"/>
          <w:color w:val="000000" w:themeColor="text1"/>
          <w:sz w:val="24"/>
        </w:rPr>
      </w:pPr>
      <w:r w:rsidRPr="00580152">
        <w:rPr>
          <w:b w:val="0"/>
          <w:color w:val="000000" w:themeColor="text1"/>
          <w:sz w:val="24"/>
        </w:rPr>
        <w:t xml:space="preserve">Szczegółowych  informacji  udziela  Urząd  Gminy i Miasta Nowe  Brzesko,  ul. Krakowska  44,  </w:t>
      </w:r>
    </w:p>
    <w:p w:rsidR="003E768E" w:rsidRPr="00580152" w:rsidRDefault="00750328" w:rsidP="005E4D51">
      <w:pPr>
        <w:pStyle w:val="Tekstblokowy1"/>
        <w:ind w:left="0" w:right="0"/>
        <w:rPr>
          <w:b w:val="0"/>
          <w:color w:val="000000" w:themeColor="text1"/>
          <w:sz w:val="24"/>
        </w:rPr>
      </w:pPr>
      <w:r w:rsidRPr="00580152">
        <w:rPr>
          <w:b w:val="0"/>
          <w:color w:val="000000" w:themeColor="text1"/>
          <w:sz w:val="24"/>
        </w:rPr>
        <w:t>32-120  Nowe  Brzesko,</w:t>
      </w:r>
      <w:r w:rsidRPr="00580152">
        <w:rPr>
          <w:color w:val="000000" w:themeColor="text1"/>
          <w:sz w:val="24"/>
        </w:rPr>
        <w:t xml:space="preserve"> </w:t>
      </w:r>
      <w:r w:rsidRPr="00580152">
        <w:rPr>
          <w:b w:val="0"/>
          <w:color w:val="000000" w:themeColor="text1"/>
          <w:sz w:val="24"/>
        </w:rPr>
        <w:t xml:space="preserve">tel. 536 057 229, 12 347-97-36, w  godzinach  pracy Urzędu. </w:t>
      </w:r>
    </w:p>
    <w:p w:rsidR="003E768E" w:rsidRPr="00580152" w:rsidRDefault="00750328" w:rsidP="005E4D51">
      <w:pPr>
        <w:pStyle w:val="Tekstblokowy1"/>
        <w:ind w:left="0" w:right="0"/>
        <w:rPr>
          <w:b w:val="0"/>
          <w:color w:val="000000" w:themeColor="text1"/>
          <w:sz w:val="24"/>
        </w:rPr>
      </w:pPr>
      <w:r w:rsidRPr="00580152">
        <w:rPr>
          <w:b w:val="0"/>
          <w:color w:val="000000" w:themeColor="text1"/>
          <w:sz w:val="24"/>
        </w:rPr>
        <w:t>Burmistrz Gminy i Miasta Nowe Brzesko zastrzega sobie prawo odwołania przetargu w uzasadnionych przypadkach.</w:t>
      </w:r>
    </w:p>
    <w:sectPr w:rsidR="003E768E" w:rsidRPr="00580152">
      <w:pgSz w:w="11906" w:h="16838"/>
      <w:pgMar w:top="993" w:right="991" w:bottom="993" w:left="993"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1D3686"/>
    <w:multiLevelType w:val="multilevel"/>
    <w:tmpl w:val="E7EA8DD4"/>
    <w:lvl w:ilvl="0">
      <w:start w:val="1"/>
      <w:numFmt w:val="decimal"/>
      <w:pStyle w:val="Nagwek1"/>
      <w:lvlText w:val="%1."/>
      <w:lvlJc w:val="left"/>
      <w:pPr>
        <w:tabs>
          <w:tab w:val="num" w:pos="720"/>
        </w:tabs>
        <w:ind w:left="720" w:hanging="720"/>
      </w:pPr>
    </w:lvl>
    <w:lvl w:ilvl="1">
      <w:start w:val="1"/>
      <w:numFmt w:val="decimal"/>
      <w:pStyle w:val="Nagwek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Nagwek6"/>
      <w:lvlText w:val="%6."/>
      <w:lvlJc w:val="left"/>
      <w:pPr>
        <w:tabs>
          <w:tab w:val="num" w:pos="4320"/>
        </w:tabs>
        <w:ind w:left="4320" w:hanging="720"/>
      </w:pPr>
      <w:rPr>
        <w:b w:val="0"/>
        <w:sz w:val="18"/>
      </w:rPr>
    </w:lvl>
    <w:lvl w:ilvl="6">
      <w:start w:val="1"/>
      <w:numFmt w:val="decimal"/>
      <w:pStyle w:val="Nagwek7"/>
      <w:lvlText w:val="%7."/>
      <w:lvlJc w:val="left"/>
      <w:pPr>
        <w:tabs>
          <w:tab w:val="num" w:pos="5040"/>
        </w:tabs>
        <w:ind w:left="5040" w:hanging="720"/>
      </w:pPr>
    </w:lvl>
    <w:lvl w:ilvl="7">
      <w:start w:val="1"/>
      <w:numFmt w:val="decimal"/>
      <w:pStyle w:val="Nagwek8"/>
      <w:lvlText w:val="%8."/>
      <w:lvlJc w:val="left"/>
      <w:pPr>
        <w:tabs>
          <w:tab w:val="num" w:pos="5760"/>
        </w:tabs>
        <w:ind w:left="5760" w:hanging="720"/>
      </w:pPr>
    </w:lvl>
    <w:lvl w:ilvl="8">
      <w:start w:val="1"/>
      <w:numFmt w:val="decimal"/>
      <w:pStyle w:val="Nagwek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compat>
    <w:compatSetting w:name="compatibilityMode" w:uri="http://schemas.microsoft.com/office/word" w:val="12"/>
  </w:compat>
  <w:rsids>
    <w:rsidRoot w:val="003E768E"/>
    <w:rsid w:val="000131E8"/>
    <w:rsid w:val="00013865"/>
    <w:rsid w:val="00285B3B"/>
    <w:rsid w:val="003441D1"/>
    <w:rsid w:val="003E768E"/>
    <w:rsid w:val="00580152"/>
    <w:rsid w:val="005E4D51"/>
    <w:rsid w:val="006B19F9"/>
    <w:rsid w:val="00750328"/>
    <w:rsid w:val="00990D79"/>
    <w:rsid w:val="00DD19B1"/>
    <w:rsid w:val="00EE7613"/>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FFEC5B-5A93-4BDC-84BE-6222303CD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C012A"/>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qFormat/>
    <w:rsid w:val="003C012A"/>
    <w:pPr>
      <w:keepNext/>
      <w:numPr>
        <w:numId w:val="1"/>
      </w:numPr>
      <w:outlineLvl w:val="0"/>
    </w:pPr>
    <w:rPr>
      <w:sz w:val="28"/>
    </w:rPr>
  </w:style>
  <w:style w:type="paragraph" w:styleId="Nagwek2">
    <w:name w:val="heading 2"/>
    <w:basedOn w:val="Normalny"/>
    <w:next w:val="Normalny"/>
    <w:link w:val="Nagwek2Znak"/>
    <w:unhideWhenUsed/>
    <w:qFormat/>
    <w:rsid w:val="003C012A"/>
    <w:pPr>
      <w:keepNext/>
      <w:numPr>
        <w:ilvl w:val="1"/>
        <w:numId w:val="1"/>
      </w:numPr>
      <w:jc w:val="center"/>
      <w:outlineLvl w:val="1"/>
    </w:pPr>
    <w:rPr>
      <w:b/>
      <w:bCs/>
    </w:rPr>
  </w:style>
  <w:style w:type="paragraph" w:styleId="Nagwek6">
    <w:name w:val="heading 6"/>
    <w:basedOn w:val="Normalny"/>
    <w:next w:val="Normalny"/>
    <w:link w:val="Nagwek6Znak"/>
    <w:unhideWhenUsed/>
    <w:qFormat/>
    <w:rsid w:val="003C012A"/>
    <w:pPr>
      <w:keepNext/>
      <w:numPr>
        <w:ilvl w:val="5"/>
        <w:numId w:val="1"/>
      </w:numPr>
      <w:outlineLvl w:val="5"/>
    </w:pPr>
    <w:rPr>
      <w:b/>
      <w:bCs/>
    </w:rPr>
  </w:style>
  <w:style w:type="paragraph" w:styleId="Nagwek7">
    <w:name w:val="heading 7"/>
    <w:basedOn w:val="Normalny"/>
    <w:next w:val="Normalny"/>
    <w:link w:val="Nagwek7Znak"/>
    <w:unhideWhenUsed/>
    <w:qFormat/>
    <w:rsid w:val="003C012A"/>
    <w:pPr>
      <w:keepNext/>
      <w:numPr>
        <w:ilvl w:val="6"/>
        <w:numId w:val="1"/>
      </w:numPr>
      <w:jc w:val="center"/>
      <w:outlineLvl w:val="6"/>
    </w:pPr>
    <w:rPr>
      <w:b/>
      <w:bCs/>
      <w:sz w:val="22"/>
    </w:rPr>
  </w:style>
  <w:style w:type="paragraph" w:styleId="Nagwek8">
    <w:name w:val="heading 8"/>
    <w:basedOn w:val="Normalny"/>
    <w:next w:val="Normalny"/>
    <w:link w:val="Nagwek8Znak"/>
    <w:unhideWhenUsed/>
    <w:qFormat/>
    <w:rsid w:val="003C012A"/>
    <w:pPr>
      <w:keepNext/>
      <w:numPr>
        <w:ilvl w:val="7"/>
        <w:numId w:val="1"/>
      </w:numPr>
      <w:outlineLvl w:val="7"/>
    </w:pPr>
    <w:rPr>
      <w:b/>
      <w:bCs/>
      <w:sz w:val="18"/>
    </w:rPr>
  </w:style>
  <w:style w:type="paragraph" w:styleId="Nagwek9">
    <w:name w:val="heading 9"/>
    <w:basedOn w:val="Normalny"/>
    <w:next w:val="Normalny"/>
    <w:link w:val="Nagwek9Znak"/>
    <w:unhideWhenUsed/>
    <w:qFormat/>
    <w:rsid w:val="003C012A"/>
    <w:pPr>
      <w:keepNext/>
      <w:numPr>
        <w:ilvl w:val="8"/>
        <w:numId w:val="1"/>
      </w:numPr>
      <w:jc w:val="center"/>
      <w:outlineLvl w:val="8"/>
    </w:pPr>
    <w:rPr>
      <w:b/>
      <w:bCs/>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3C012A"/>
    <w:rPr>
      <w:rFonts w:ascii="Times New Roman" w:eastAsia="Times New Roman" w:hAnsi="Times New Roman" w:cs="Times New Roman"/>
      <w:sz w:val="28"/>
      <w:szCs w:val="24"/>
      <w:lang w:eastAsia="ar-SA"/>
    </w:rPr>
  </w:style>
  <w:style w:type="character" w:customStyle="1" w:styleId="Nagwek2Znak">
    <w:name w:val="Nagłówek 2 Znak"/>
    <w:basedOn w:val="Domylnaczcionkaakapitu"/>
    <w:link w:val="Nagwek2"/>
    <w:qFormat/>
    <w:rsid w:val="003C012A"/>
    <w:rPr>
      <w:rFonts w:ascii="Times New Roman" w:eastAsia="Times New Roman" w:hAnsi="Times New Roman" w:cs="Times New Roman"/>
      <w:b/>
      <w:bCs/>
      <w:sz w:val="24"/>
      <w:szCs w:val="24"/>
      <w:lang w:eastAsia="ar-SA"/>
    </w:rPr>
  </w:style>
  <w:style w:type="character" w:customStyle="1" w:styleId="Nagwek6Znak">
    <w:name w:val="Nagłówek 6 Znak"/>
    <w:basedOn w:val="Domylnaczcionkaakapitu"/>
    <w:link w:val="Nagwek6"/>
    <w:qFormat/>
    <w:rsid w:val="003C012A"/>
    <w:rPr>
      <w:rFonts w:ascii="Times New Roman" w:eastAsia="Times New Roman" w:hAnsi="Times New Roman" w:cs="Times New Roman"/>
      <w:b/>
      <w:bCs/>
      <w:sz w:val="24"/>
      <w:szCs w:val="24"/>
      <w:lang w:eastAsia="ar-SA"/>
    </w:rPr>
  </w:style>
  <w:style w:type="character" w:customStyle="1" w:styleId="Nagwek7Znak">
    <w:name w:val="Nagłówek 7 Znak"/>
    <w:basedOn w:val="Domylnaczcionkaakapitu"/>
    <w:link w:val="Nagwek7"/>
    <w:qFormat/>
    <w:rsid w:val="003C012A"/>
    <w:rPr>
      <w:rFonts w:ascii="Times New Roman" w:eastAsia="Times New Roman" w:hAnsi="Times New Roman" w:cs="Times New Roman"/>
      <w:b/>
      <w:bCs/>
      <w:szCs w:val="24"/>
      <w:lang w:eastAsia="ar-SA"/>
    </w:rPr>
  </w:style>
  <w:style w:type="character" w:customStyle="1" w:styleId="Nagwek8Znak">
    <w:name w:val="Nagłówek 8 Znak"/>
    <w:basedOn w:val="Domylnaczcionkaakapitu"/>
    <w:link w:val="Nagwek8"/>
    <w:qFormat/>
    <w:rsid w:val="003C012A"/>
    <w:rPr>
      <w:rFonts w:ascii="Times New Roman" w:eastAsia="Times New Roman" w:hAnsi="Times New Roman" w:cs="Times New Roman"/>
      <w:b/>
      <w:bCs/>
      <w:sz w:val="18"/>
      <w:szCs w:val="24"/>
      <w:lang w:eastAsia="ar-SA"/>
    </w:rPr>
  </w:style>
  <w:style w:type="character" w:customStyle="1" w:styleId="Nagwek9Znak">
    <w:name w:val="Nagłówek 9 Znak"/>
    <w:basedOn w:val="Domylnaczcionkaakapitu"/>
    <w:link w:val="Nagwek9"/>
    <w:qFormat/>
    <w:rsid w:val="003C012A"/>
    <w:rPr>
      <w:rFonts w:ascii="Times New Roman" w:eastAsia="Times New Roman" w:hAnsi="Times New Roman" w:cs="Times New Roman"/>
      <w:b/>
      <w:bCs/>
      <w:sz w:val="18"/>
      <w:szCs w:val="24"/>
      <w:lang w:eastAsia="ar-SA"/>
    </w:rPr>
  </w:style>
  <w:style w:type="character" w:customStyle="1" w:styleId="NagwekZnak">
    <w:name w:val="Nagłówek Znak"/>
    <w:basedOn w:val="Domylnaczcionkaakapitu"/>
    <w:link w:val="Nagwek"/>
    <w:uiPriority w:val="99"/>
    <w:semiHidden/>
    <w:qFormat/>
    <w:rsid w:val="003F7FDD"/>
    <w:rPr>
      <w:rFonts w:ascii="Times New Roman" w:eastAsia="Times New Roman" w:hAnsi="Times New Roman" w:cs="Times New Roman"/>
      <w:sz w:val="24"/>
      <w:szCs w:val="24"/>
      <w:lang w:eastAsia="ar-SA"/>
    </w:rPr>
  </w:style>
  <w:style w:type="character" w:customStyle="1" w:styleId="StopkaZnak">
    <w:name w:val="Stopka Znak"/>
    <w:basedOn w:val="Domylnaczcionkaakapitu"/>
    <w:link w:val="Stopka"/>
    <w:uiPriority w:val="99"/>
    <w:semiHidden/>
    <w:qFormat/>
    <w:rsid w:val="003F7FDD"/>
    <w:rPr>
      <w:rFonts w:ascii="Times New Roman" w:eastAsia="Times New Roman" w:hAnsi="Times New Roman" w:cs="Times New Roman"/>
      <w:sz w:val="24"/>
      <w:szCs w:val="24"/>
      <w:lang w:eastAsia="ar-SA"/>
    </w:rPr>
  </w:style>
  <w:style w:type="character" w:customStyle="1" w:styleId="TekstdymkaZnak">
    <w:name w:val="Tekst dymka Znak"/>
    <w:basedOn w:val="Domylnaczcionkaakapitu"/>
    <w:link w:val="Tekstdymka"/>
    <w:uiPriority w:val="99"/>
    <w:semiHidden/>
    <w:qFormat/>
    <w:rsid w:val="00B01B5B"/>
    <w:rPr>
      <w:rFonts w:ascii="Tahoma" w:eastAsia="Times New Roman" w:hAnsi="Tahoma" w:cs="Tahoma"/>
      <w:sz w:val="16"/>
      <w:szCs w:val="16"/>
      <w:lang w:eastAsia="ar-SA"/>
    </w:rPr>
  </w:style>
  <w:style w:type="character" w:customStyle="1" w:styleId="TekstpodstawowyZnak">
    <w:name w:val="Tekst podstawowy Znak"/>
    <w:basedOn w:val="Domylnaczcionkaakapitu"/>
    <w:link w:val="Tekstpodstawowy"/>
    <w:qFormat/>
    <w:rsid w:val="00EF4176"/>
    <w:rPr>
      <w:rFonts w:ascii="Calibri" w:eastAsia="Times New Roman" w:hAnsi="Calibri" w:cs="Calibri"/>
      <w:sz w:val="20"/>
      <w:szCs w:val="20"/>
      <w:lang w:val="en-GB" w:eastAsia="zh-CN"/>
    </w:rPr>
  </w:style>
  <w:style w:type="character" w:styleId="Pogrubienie">
    <w:name w:val="Strong"/>
    <w:basedOn w:val="Domylnaczcionkaakapitu"/>
    <w:uiPriority w:val="22"/>
    <w:qFormat/>
    <w:rsid w:val="00047FAD"/>
    <w:rPr>
      <w:b/>
      <w:bCs/>
    </w:rPr>
  </w:style>
  <w:style w:type="paragraph" w:styleId="Nagwek">
    <w:name w:val="header"/>
    <w:basedOn w:val="Normalny"/>
    <w:next w:val="Tekstpodstawowy"/>
    <w:link w:val="NagwekZnak"/>
    <w:uiPriority w:val="99"/>
    <w:semiHidden/>
    <w:unhideWhenUsed/>
    <w:rsid w:val="003F7FDD"/>
    <w:pPr>
      <w:tabs>
        <w:tab w:val="center" w:pos="4536"/>
        <w:tab w:val="right" w:pos="9072"/>
      </w:tabs>
    </w:pPr>
  </w:style>
  <w:style w:type="paragraph" w:styleId="Tekstpodstawowy">
    <w:name w:val="Body Text"/>
    <w:basedOn w:val="Normalny"/>
    <w:link w:val="TekstpodstawowyZnak"/>
    <w:rsid w:val="00EF4176"/>
    <w:pPr>
      <w:spacing w:after="120"/>
      <w:jc w:val="both"/>
    </w:pPr>
    <w:rPr>
      <w:rFonts w:ascii="Calibri" w:hAnsi="Calibri" w:cs="Calibri"/>
      <w:sz w:val="20"/>
      <w:szCs w:val="20"/>
      <w:lang w:val="en-GB" w:eastAsia="zh-CN"/>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Tekstpodstawowy21">
    <w:name w:val="Tekst podstawowy 21"/>
    <w:basedOn w:val="Normalny"/>
    <w:qFormat/>
    <w:rsid w:val="003C012A"/>
    <w:pPr>
      <w:jc w:val="center"/>
    </w:pPr>
    <w:rPr>
      <w:b/>
      <w:bCs/>
    </w:rPr>
  </w:style>
  <w:style w:type="paragraph" w:customStyle="1" w:styleId="Tekstblokowy1">
    <w:name w:val="Tekst blokowy1"/>
    <w:basedOn w:val="Normalny"/>
    <w:qFormat/>
    <w:rsid w:val="003C012A"/>
    <w:pPr>
      <w:ind w:left="-1080" w:right="-1298"/>
      <w:jc w:val="both"/>
    </w:pPr>
    <w:rPr>
      <w:b/>
      <w:bCs/>
      <w:sz w:val="20"/>
    </w:rPr>
  </w:style>
  <w:style w:type="paragraph" w:styleId="Akapitzlist">
    <w:name w:val="List Paragraph"/>
    <w:basedOn w:val="Normalny"/>
    <w:uiPriority w:val="34"/>
    <w:qFormat/>
    <w:rsid w:val="00A529D7"/>
    <w:pPr>
      <w:ind w:left="720"/>
      <w:contextualSpacing/>
    </w:pPr>
  </w:style>
  <w:style w:type="paragraph" w:customStyle="1" w:styleId="Gwkaistopka">
    <w:name w:val="Główka i stopka"/>
    <w:basedOn w:val="Normalny"/>
    <w:qFormat/>
  </w:style>
  <w:style w:type="paragraph" w:styleId="Stopka">
    <w:name w:val="footer"/>
    <w:basedOn w:val="Normalny"/>
    <w:link w:val="StopkaZnak"/>
    <w:uiPriority w:val="99"/>
    <w:semiHidden/>
    <w:unhideWhenUsed/>
    <w:rsid w:val="003F7FDD"/>
    <w:pPr>
      <w:tabs>
        <w:tab w:val="center" w:pos="4536"/>
        <w:tab w:val="right" w:pos="9072"/>
      </w:tabs>
    </w:pPr>
  </w:style>
  <w:style w:type="paragraph" w:styleId="Tekstdymka">
    <w:name w:val="Balloon Text"/>
    <w:basedOn w:val="Normalny"/>
    <w:link w:val="TekstdymkaZnak"/>
    <w:uiPriority w:val="99"/>
    <w:semiHidden/>
    <w:unhideWhenUsed/>
    <w:qFormat/>
    <w:rsid w:val="00B01B5B"/>
    <w:rPr>
      <w:rFonts w:ascii="Tahoma" w:hAnsi="Tahoma" w:cs="Tahoma"/>
      <w:sz w:val="16"/>
      <w:szCs w:val="16"/>
    </w:rPr>
  </w:style>
  <w:style w:type="paragraph" w:styleId="NormalnyWeb">
    <w:name w:val="Normal (Web)"/>
    <w:basedOn w:val="Normalny"/>
    <w:uiPriority w:val="99"/>
    <w:unhideWhenUsed/>
    <w:qFormat/>
    <w:rsid w:val="00EF4176"/>
    <w:pPr>
      <w:suppressAutoHyphens w:val="0"/>
      <w:spacing w:beforeAutospacing="1" w:afterAutospacing="1"/>
    </w:pPr>
    <w:rPr>
      <w:lang w:eastAsia="pl-PL"/>
    </w:rPr>
  </w:style>
  <w:style w:type="paragraph" w:styleId="Bezodstpw">
    <w:name w:val="No Spacing"/>
    <w:uiPriority w:val="1"/>
    <w:qFormat/>
    <w:rsid w:val="00B501C1"/>
  </w:style>
  <w:style w:type="paragraph" w:customStyle="1" w:styleId="ng-scope">
    <w:name w:val="ng-scope"/>
    <w:basedOn w:val="Normalny"/>
    <w:qFormat/>
    <w:rsid w:val="00660EC2"/>
    <w:pPr>
      <w:suppressAutoHyphens w:val="0"/>
      <w:spacing w:beforeAutospacing="1" w:afterAutospacing="1"/>
    </w:pPr>
    <w:rPr>
      <w:lang w:eastAsia="pl-PL"/>
    </w:rPr>
  </w:style>
  <w:style w:type="paragraph" w:customStyle="1" w:styleId="Zawartoramki">
    <w:name w:val="Zawartość ramki"/>
    <w:basedOn w:val="Normalny"/>
    <w:qFormat/>
  </w:style>
  <w:style w:type="table" w:styleId="Tabela-Siatka">
    <w:name w:val="Table Grid"/>
    <w:basedOn w:val="Standardowy"/>
    <w:uiPriority w:val="59"/>
    <w:rsid w:val="00296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99E51B-82D7-4D47-8200-DF443CD2A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4332</TotalTime>
  <Pages>1</Pages>
  <Words>930</Words>
  <Characters>5586</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dc:creator>
  <dc:description/>
  <cp:lastModifiedBy>JZ</cp:lastModifiedBy>
  <cp:revision>186</cp:revision>
  <cp:lastPrinted>2026-08-21T06:56:00Z</cp:lastPrinted>
  <dcterms:created xsi:type="dcterms:W3CDTF">2015-09-16T07:05:00Z</dcterms:created>
  <dcterms:modified xsi:type="dcterms:W3CDTF">2026-08-21T06:56:00Z</dcterms:modified>
  <dc:language>pl-PL</dc:language>
</cp:coreProperties>
</file>